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90A" w:rsidRDefault="0080790A" w:rsidP="0080790A">
      <w:pPr>
        <w:jc w:val="center"/>
        <w:rPr>
          <w:rFonts w:eastAsia="Times New Roman"/>
          <w:b/>
          <w:bCs/>
        </w:rPr>
      </w:pPr>
      <w:r>
        <w:rPr>
          <w:rFonts w:ascii="Comic Sans MS" w:eastAsia="Times New Roman" w:hAnsi="Comic Sans MS"/>
          <w:b/>
          <w:bCs/>
          <w:sz w:val="24"/>
          <w:szCs w:val="24"/>
        </w:rPr>
        <w:t>JORF n°0284 du 7 décembre 2019</w:t>
      </w:r>
      <w:r>
        <w:rPr>
          <w:rStyle w:val="apple-converted-space"/>
          <w:rFonts w:ascii="Comic Sans MS" w:eastAsia="Times New Roman" w:hAnsi="Comic Sans MS"/>
          <w:b/>
          <w:bCs/>
          <w:sz w:val="24"/>
          <w:szCs w:val="24"/>
        </w:rPr>
        <w:t> </w:t>
      </w:r>
      <w:r>
        <w:rPr>
          <w:rFonts w:ascii="Comic Sans MS" w:eastAsia="Times New Roman" w:hAnsi="Comic Sans MS"/>
          <w:b/>
          <w:bCs/>
          <w:sz w:val="24"/>
          <w:szCs w:val="24"/>
        </w:rPr>
        <w:br/>
        <w:t>texte n° 4</w:t>
      </w:r>
      <w:r>
        <w:rPr>
          <w:rStyle w:val="apple-converted-space"/>
          <w:rFonts w:ascii="Comic Sans MS" w:eastAsia="Times New Roman" w:hAnsi="Comic Sans MS"/>
          <w:b/>
          <w:bCs/>
          <w:sz w:val="24"/>
          <w:szCs w:val="24"/>
        </w:rPr>
        <w:t> </w:t>
      </w:r>
      <w:r>
        <w:rPr>
          <w:rFonts w:ascii="Comic Sans MS" w:eastAsia="Times New Roman" w:hAnsi="Comic Sans MS"/>
          <w:b/>
          <w:bCs/>
          <w:sz w:val="24"/>
          <w:szCs w:val="24"/>
        </w:rPr>
        <w:br/>
      </w:r>
      <w:r>
        <w:rPr>
          <w:rFonts w:ascii="Comic Sans MS" w:eastAsia="Times New Roman" w:hAnsi="Comic Sans MS"/>
          <w:b/>
          <w:bCs/>
          <w:sz w:val="24"/>
          <w:szCs w:val="24"/>
        </w:rPr>
        <w:br/>
      </w:r>
      <w:r>
        <w:rPr>
          <w:rFonts w:ascii="Comic Sans MS" w:eastAsia="Times New Roman" w:hAnsi="Comic Sans MS"/>
          <w:b/>
          <w:bCs/>
          <w:sz w:val="24"/>
          <w:szCs w:val="24"/>
        </w:rPr>
        <w:br/>
      </w:r>
      <w:r>
        <w:rPr>
          <w:rFonts w:ascii="Comic Sans MS" w:eastAsia="Times New Roman" w:hAnsi="Comic Sans MS"/>
          <w:b/>
          <w:bCs/>
          <w:sz w:val="24"/>
          <w:szCs w:val="24"/>
        </w:rPr>
        <w:br/>
        <w:t>Arrêté du 2 décembre 2019 modifiant l'arrêté du 20 mars 2014 portant définition et fixant la liste des hauts lieux de la mémoire nationale du ministère de la défense</w:t>
      </w:r>
      <w:r>
        <w:rPr>
          <w:rStyle w:val="apple-converted-space"/>
          <w:rFonts w:ascii="Comic Sans MS" w:eastAsia="Times New Roman" w:hAnsi="Comic Sans MS"/>
          <w:b/>
          <w:bCs/>
          <w:sz w:val="24"/>
          <w:szCs w:val="24"/>
        </w:rPr>
        <w:t> </w:t>
      </w:r>
      <w:r>
        <w:rPr>
          <w:rFonts w:ascii="Comic Sans MS" w:eastAsia="Times New Roman" w:hAnsi="Comic Sans MS"/>
          <w:b/>
          <w:bCs/>
          <w:sz w:val="24"/>
          <w:szCs w:val="24"/>
        </w:rPr>
        <w:br/>
      </w:r>
      <w:r>
        <w:rPr>
          <w:rFonts w:ascii="Comic Sans MS" w:eastAsia="Times New Roman" w:hAnsi="Comic Sans MS"/>
          <w:b/>
          <w:bCs/>
          <w:sz w:val="24"/>
          <w:szCs w:val="24"/>
        </w:rPr>
        <w:br/>
      </w:r>
      <w:proofErr w:type="gramStart"/>
      <w:r>
        <w:rPr>
          <w:rFonts w:ascii="Comic Sans MS" w:eastAsia="Times New Roman" w:hAnsi="Comic Sans MS"/>
          <w:b/>
          <w:bCs/>
          <w:sz w:val="24"/>
          <w:szCs w:val="24"/>
        </w:rPr>
        <w:t>NOR:</w:t>
      </w:r>
      <w:proofErr w:type="gramEnd"/>
      <w:r>
        <w:rPr>
          <w:rFonts w:ascii="Comic Sans MS" w:eastAsia="Times New Roman" w:hAnsi="Comic Sans MS"/>
          <w:b/>
          <w:bCs/>
          <w:sz w:val="24"/>
          <w:szCs w:val="24"/>
        </w:rPr>
        <w:t xml:space="preserve"> ARMP1934951A</w:t>
      </w:r>
      <w:r>
        <w:rPr>
          <w:rStyle w:val="apple-converted-space"/>
          <w:rFonts w:ascii="Comic Sans MS" w:eastAsia="Times New Roman" w:hAnsi="Comic Sans MS"/>
          <w:b/>
          <w:bCs/>
          <w:sz w:val="24"/>
          <w:szCs w:val="24"/>
        </w:rPr>
        <w:t> </w:t>
      </w:r>
    </w:p>
    <w:p w:rsidR="0080790A" w:rsidRDefault="0080790A" w:rsidP="0080790A">
      <w:pPr>
        <w:spacing w:after="160"/>
        <w:jc w:val="center"/>
        <w:rPr>
          <w:b/>
          <w:bCs/>
        </w:rPr>
      </w:pPr>
      <w:proofErr w:type="gramStart"/>
      <w:r>
        <w:rPr>
          <w:rFonts w:ascii="Comic Sans MS" w:hAnsi="Comic Sans MS"/>
          <w:b/>
          <w:bCs/>
          <w:sz w:val="24"/>
          <w:szCs w:val="24"/>
        </w:rPr>
        <w:t>ELI:</w:t>
      </w:r>
      <w:proofErr w:type="gramEnd"/>
      <w:r>
        <w:rPr>
          <w:rStyle w:val="apple-converted-space"/>
          <w:rFonts w:ascii="Comic Sans MS" w:hAnsi="Comic Sans MS"/>
          <w:b/>
          <w:bCs/>
          <w:sz w:val="24"/>
          <w:szCs w:val="24"/>
        </w:rPr>
        <w:t> </w:t>
      </w:r>
      <w:hyperlink r:id="rId4" w:history="1">
        <w:r>
          <w:rPr>
            <w:rStyle w:val="Lienhypertexte"/>
            <w:rFonts w:ascii="Comic Sans MS" w:hAnsi="Comic Sans MS"/>
            <w:b/>
            <w:bCs/>
            <w:sz w:val="24"/>
            <w:szCs w:val="24"/>
          </w:rPr>
          <w:t>https://www.legifrance.gouv.fr/eli/arrete/2019/12/2/ARMP1934951A/jo/texte</w:t>
        </w:r>
      </w:hyperlink>
    </w:p>
    <w:p w:rsidR="0080790A" w:rsidRDefault="0080790A" w:rsidP="0080790A">
      <w:pPr>
        <w:spacing w:before="180" w:after="180"/>
        <w:rPr>
          <w:b/>
          <w:bCs/>
        </w:rPr>
      </w:pPr>
      <w:r>
        <w:rPr>
          <w:rFonts w:ascii="Comic Sans MS" w:hAnsi="Comic Sans MS"/>
          <w:b/>
          <w:bCs/>
          <w:sz w:val="24"/>
          <w:szCs w:val="24"/>
        </w:rPr>
        <w:br/>
        <w:t>La ministre des armées et la secrétaire d'État auprès de la ministre des armées,</w:t>
      </w:r>
      <w:r>
        <w:rPr>
          <w:rFonts w:ascii="Comic Sans MS" w:hAnsi="Comic Sans MS"/>
          <w:b/>
          <w:bCs/>
          <w:sz w:val="24"/>
          <w:szCs w:val="24"/>
        </w:rPr>
        <w:br/>
        <w:t>Vu le</w:t>
      </w:r>
      <w:r>
        <w:rPr>
          <w:rStyle w:val="apple-converted-space"/>
          <w:rFonts w:ascii="Comic Sans MS" w:hAnsi="Comic Sans MS"/>
          <w:b/>
          <w:bCs/>
          <w:sz w:val="24"/>
          <w:szCs w:val="24"/>
        </w:rPr>
        <w:t> </w:t>
      </w:r>
      <w:hyperlink r:id="rId5" w:history="1">
        <w:r>
          <w:rPr>
            <w:rStyle w:val="Lienhypertexte"/>
            <w:rFonts w:ascii="Comic Sans MS" w:hAnsi="Comic Sans MS"/>
            <w:b/>
            <w:bCs/>
            <w:color w:val="336699"/>
            <w:sz w:val="24"/>
            <w:szCs w:val="24"/>
          </w:rPr>
          <w:t>code des pensions militaires d'invalidité et des victimes de guerre</w:t>
        </w:r>
      </w:hyperlink>
      <w:r>
        <w:rPr>
          <w:rFonts w:ascii="Comic Sans MS" w:hAnsi="Comic Sans MS"/>
          <w:b/>
          <w:bCs/>
          <w:sz w:val="24"/>
          <w:szCs w:val="24"/>
        </w:rPr>
        <w:t>, notamment son article L. 611-3 ;</w:t>
      </w:r>
      <w:r>
        <w:rPr>
          <w:rFonts w:ascii="Comic Sans MS" w:hAnsi="Comic Sans MS"/>
          <w:b/>
          <w:bCs/>
          <w:sz w:val="24"/>
          <w:szCs w:val="24"/>
        </w:rPr>
        <w:br/>
        <w:t>Vu l'arrêté du 20 mars 2014 portant définition et fixant la liste des hauts lieux de la mémoire nationale du ministère de la défense,</w:t>
      </w:r>
      <w:r>
        <w:rPr>
          <w:rFonts w:ascii="Comic Sans MS" w:hAnsi="Comic Sans MS"/>
          <w:b/>
          <w:bCs/>
          <w:sz w:val="24"/>
          <w:szCs w:val="24"/>
        </w:rPr>
        <w:br/>
        <w:t>Arrêtent :</w:t>
      </w:r>
    </w:p>
    <w:p w:rsidR="0080790A" w:rsidRDefault="0080790A" w:rsidP="0080790A">
      <w:pPr>
        <w:jc w:val="center"/>
        <w:rPr>
          <w:rFonts w:eastAsia="Times New Roman"/>
          <w:b/>
          <w:bCs/>
        </w:rPr>
      </w:pPr>
      <w:r>
        <w:rPr>
          <w:rFonts w:ascii="Comic Sans MS" w:eastAsia="Times New Roman" w:hAnsi="Comic Sans MS"/>
          <w:b/>
          <w:bCs/>
          <w:sz w:val="24"/>
          <w:szCs w:val="24"/>
        </w:rPr>
        <w:t>Article 1</w:t>
      </w:r>
    </w:p>
    <w:p w:rsidR="0080790A" w:rsidRDefault="0080790A" w:rsidP="0080790A">
      <w:pPr>
        <w:spacing w:before="180" w:after="160"/>
        <w:rPr>
          <w:b/>
          <w:bCs/>
        </w:rPr>
      </w:pPr>
      <w:r>
        <w:rPr>
          <w:rFonts w:ascii="Comic Sans MS" w:hAnsi="Comic Sans MS"/>
          <w:b/>
          <w:bCs/>
          <w:sz w:val="24"/>
          <w:szCs w:val="24"/>
        </w:rPr>
        <w:br/>
        <w:t>Dans l'intitulé et à l'article 1er de l'arrêté du 20 mars 2014 susvisé, les mots « ministère de la défense » sont remplacés par « ministère des armées ».</w:t>
      </w:r>
    </w:p>
    <w:p w:rsidR="0080790A" w:rsidRDefault="0080790A" w:rsidP="0080790A">
      <w:pPr>
        <w:jc w:val="center"/>
        <w:rPr>
          <w:rFonts w:eastAsia="Times New Roman"/>
          <w:b/>
          <w:bCs/>
        </w:rPr>
      </w:pPr>
      <w:r>
        <w:rPr>
          <w:rFonts w:ascii="Comic Sans MS" w:eastAsia="Times New Roman" w:hAnsi="Comic Sans MS"/>
          <w:b/>
          <w:bCs/>
          <w:sz w:val="24"/>
          <w:szCs w:val="24"/>
        </w:rPr>
        <w:t>Article 2</w:t>
      </w:r>
    </w:p>
    <w:p w:rsidR="0080790A" w:rsidRDefault="0080790A" w:rsidP="0080790A">
      <w:pPr>
        <w:spacing w:before="180" w:after="180"/>
        <w:rPr>
          <w:b/>
          <w:bCs/>
        </w:rPr>
      </w:pPr>
      <w:r>
        <w:rPr>
          <w:rFonts w:ascii="Comic Sans MS" w:hAnsi="Comic Sans MS"/>
          <w:b/>
          <w:bCs/>
          <w:sz w:val="24"/>
          <w:szCs w:val="24"/>
        </w:rPr>
        <w:br/>
        <w:t>L'article 2 du même arrêté est remplacé par les dispositions suivantes :</w:t>
      </w:r>
    </w:p>
    <w:p w:rsidR="0080790A" w:rsidRDefault="0080790A" w:rsidP="0080790A">
      <w:pPr>
        <w:spacing w:before="180" w:after="180"/>
        <w:rPr>
          <w:b/>
          <w:bCs/>
        </w:rPr>
      </w:pPr>
      <w:r>
        <w:rPr>
          <w:rFonts w:ascii="Comic Sans MS" w:hAnsi="Comic Sans MS"/>
          <w:b/>
          <w:bCs/>
          <w:sz w:val="24"/>
          <w:szCs w:val="24"/>
        </w:rPr>
        <w:br/>
        <w:t>« Art. 2. - Les hauts lieux de la mémoire nationale du ministère des armées sont :</w:t>
      </w:r>
    </w:p>
    <w:p w:rsidR="0080790A" w:rsidRDefault="0080790A" w:rsidP="0080790A">
      <w:pPr>
        <w:spacing w:before="180" w:after="160"/>
        <w:rPr>
          <w:b/>
          <w:bCs/>
        </w:rPr>
      </w:pPr>
      <w:r>
        <w:rPr>
          <w:rFonts w:ascii="Comic Sans MS" w:hAnsi="Comic Sans MS"/>
          <w:b/>
          <w:bCs/>
          <w:sz w:val="24"/>
          <w:szCs w:val="24"/>
        </w:rPr>
        <w:br/>
        <w:t xml:space="preserve">« - la nécropole nationale de Notre-Dame-de-Lorette, à </w:t>
      </w:r>
      <w:proofErr w:type="spellStart"/>
      <w:r>
        <w:rPr>
          <w:rFonts w:ascii="Comic Sans MS" w:hAnsi="Comic Sans MS"/>
          <w:b/>
          <w:bCs/>
          <w:sz w:val="24"/>
          <w:szCs w:val="24"/>
        </w:rPr>
        <w:t>Ablain</w:t>
      </w:r>
      <w:proofErr w:type="spellEnd"/>
      <w:r>
        <w:rPr>
          <w:rFonts w:ascii="Comic Sans MS" w:hAnsi="Comic Sans MS"/>
          <w:b/>
          <w:bCs/>
          <w:sz w:val="24"/>
          <w:szCs w:val="24"/>
        </w:rPr>
        <w:t>-Saint-Nazaire (Pas-de-Calais), au titre des soldats morts pour la France aux côtés de leurs frères d'armes alliés (1914-1918) ;</w:t>
      </w:r>
      <w:r>
        <w:rPr>
          <w:rFonts w:ascii="Comic Sans MS" w:hAnsi="Comic Sans MS"/>
          <w:b/>
          <w:bCs/>
          <w:sz w:val="24"/>
          <w:szCs w:val="24"/>
        </w:rPr>
        <w:br/>
        <w:t>« - l'ensemble constitué par la nécropole nationale de Fleury-devant-Douaumont et la tranchée des baïonnettes (Meuse), au titre du sacrifice des soldats français de la Grande Guerre à Verdun (1914-1918) ;</w:t>
      </w:r>
      <w:r>
        <w:rPr>
          <w:rFonts w:ascii="Comic Sans MS" w:hAnsi="Comic Sans MS"/>
          <w:b/>
          <w:bCs/>
          <w:sz w:val="24"/>
          <w:szCs w:val="24"/>
        </w:rPr>
        <w:br/>
      </w:r>
      <w:r>
        <w:rPr>
          <w:rFonts w:ascii="Comic Sans MS" w:hAnsi="Comic Sans MS"/>
          <w:b/>
          <w:bCs/>
          <w:sz w:val="24"/>
          <w:szCs w:val="24"/>
        </w:rPr>
        <w:lastRenderedPageBreak/>
        <w:t xml:space="preserve">« - l'ancien camp de concentration de </w:t>
      </w:r>
      <w:proofErr w:type="spellStart"/>
      <w:r>
        <w:rPr>
          <w:rFonts w:ascii="Comic Sans MS" w:hAnsi="Comic Sans MS"/>
          <w:b/>
          <w:bCs/>
          <w:sz w:val="24"/>
          <w:szCs w:val="24"/>
        </w:rPr>
        <w:t>Natzweiler</w:t>
      </w:r>
      <w:proofErr w:type="spellEnd"/>
      <w:r>
        <w:rPr>
          <w:rFonts w:ascii="Comic Sans MS" w:hAnsi="Comic Sans MS"/>
          <w:b/>
          <w:bCs/>
          <w:sz w:val="24"/>
          <w:szCs w:val="24"/>
        </w:rPr>
        <w:t>-Struthof (Natzwiller, Bas-Rhin), au titre du système concentrationnaire nazi et de la Résistance européenne (1933-1945) ;</w:t>
      </w:r>
      <w:r>
        <w:rPr>
          <w:rFonts w:ascii="Comic Sans MS" w:hAnsi="Comic Sans MS"/>
          <w:b/>
          <w:bCs/>
          <w:sz w:val="24"/>
          <w:szCs w:val="24"/>
        </w:rPr>
        <w:br/>
        <w:t>« - le Mont-Valérien (Suresnes, Hauts-de-Seine), au titre de la répression exercée par les autorités allemandes pendant l'Occupation (1940-1944) et de la France Combattante ;</w:t>
      </w:r>
      <w:r>
        <w:rPr>
          <w:rFonts w:ascii="Comic Sans MS" w:hAnsi="Comic Sans MS"/>
          <w:b/>
          <w:bCs/>
          <w:sz w:val="24"/>
          <w:szCs w:val="24"/>
        </w:rPr>
        <w:br/>
        <w:t>« - le mémorial des martyrs de la Déportation, dans l'Ile de la Cité (Paris), au titre de la mémoire des déportés ;</w:t>
      </w:r>
      <w:r>
        <w:rPr>
          <w:rFonts w:ascii="Comic Sans MS" w:hAnsi="Comic Sans MS"/>
          <w:b/>
          <w:bCs/>
          <w:sz w:val="24"/>
          <w:szCs w:val="24"/>
        </w:rPr>
        <w:br/>
        <w:t>« - le mémorial national de la prison de Montluc, à Lyon (Rhône), au titre de l'internement par le régime de Vichy et les autorités allemandes pendant l'Occupation (1940-1944) ;</w:t>
      </w:r>
      <w:r>
        <w:rPr>
          <w:rFonts w:ascii="Comic Sans MS" w:hAnsi="Comic Sans MS"/>
          <w:b/>
          <w:bCs/>
          <w:sz w:val="24"/>
          <w:szCs w:val="24"/>
        </w:rPr>
        <w:br/>
        <w:t>« - le mémorial du débarquement et de la libération de la Provence, au Mont-Faron (Toulon, Var), au titre du débarquement des 15 et 16 août 1944 et de l'armée de la Libération ;</w:t>
      </w:r>
      <w:r>
        <w:rPr>
          <w:rFonts w:ascii="Comic Sans MS" w:hAnsi="Comic Sans MS"/>
          <w:b/>
          <w:bCs/>
          <w:sz w:val="24"/>
          <w:szCs w:val="24"/>
        </w:rPr>
        <w:br/>
        <w:t>« - le mémorial des guerres en Indochine à Fréjus (Var), au titre de la Seconde Guerre mondiale en Indochine (1940-1945) et de la guerre d'Indochine (1946-1954) ;</w:t>
      </w:r>
      <w:r>
        <w:rPr>
          <w:rFonts w:ascii="Comic Sans MS" w:hAnsi="Comic Sans MS"/>
          <w:b/>
          <w:bCs/>
          <w:sz w:val="24"/>
          <w:szCs w:val="24"/>
        </w:rPr>
        <w:br/>
        <w:t>« - le mémorial de la guerre d'Algérie et des combats du Maroc et de la Tunisie, sur la promenade du Quai Branly, à Paris ;</w:t>
      </w:r>
      <w:r>
        <w:rPr>
          <w:rFonts w:ascii="Comic Sans MS" w:hAnsi="Comic Sans MS"/>
          <w:b/>
          <w:bCs/>
          <w:sz w:val="24"/>
          <w:szCs w:val="24"/>
        </w:rPr>
        <w:br/>
        <w:t>« - le Monument aux Morts pour la France en opérations extérieures, dans le parc André Citroën, à Paris. »</w:t>
      </w:r>
    </w:p>
    <w:p w:rsidR="0080790A" w:rsidRDefault="0080790A" w:rsidP="0080790A">
      <w:pPr>
        <w:jc w:val="center"/>
        <w:rPr>
          <w:rFonts w:eastAsia="Times New Roman"/>
          <w:b/>
          <w:bCs/>
        </w:rPr>
      </w:pPr>
      <w:r>
        <w:rPr>
          <w:rFonts w:ascii="Comic Sans MS" w:eastAsia="Times New Roman" w:hAnsi="Comic Sans MS"/>
          <w:b/>
          <w:bCs/>
          <w:sz w:val="24"/>
          <w:szCs w:val="24"/>
        </w:rPr>
        <w:t>Article 3</w:t>
      </w:r>
    </w:p>
    <w:p w:rsidR="0080790A" w:rsidRDefault="0080790A" w:rsidP="0080790A">
      <w:pPr>
        <w:spacing w:before="180" w:after="160"/>
        <w:rPr>
          <w:b/>
          <w:bCs/>
        </w:rPr>
      </w:pPr>
      <w:r>
        <w:rPr>
          <w:rFonts w:ascii="Comic Sans MS" w:hAnsi="Comic Sans MS"/>
          <w:b/>
          <w:bCs/>
          <w:sz w:val="24"/>
          <w:szCs w:val="24"/>
        </w:rPr>
        <w:br/>
        <w:t>Le directeur des patrimoines, de la mémoire et des archives et la directrice générale de l'Office national des anciens combattants et victimes de guerre sont chargés, chacun en ce qui le concerne, de l'exécution du présent arrêté, qui sera publié au Journal officiel de la République française.</w:t>
      </w:r>
    </w:p>
    <w:p w:rsidR="0080790A" w:rsidRDefault="0080790A" w:rsidP="0080790A">
      <w:pPr>
        <w:spacing w:before="180" w:after="180"/>
        <w:rPr>
          <w:b/>
          <w:bCs/>
        </w:rPr>
      </w:pPr>
      <w:r>
        <w:rPr>
          <w:rFonts w:ascii="Comic Sans MS" w:hAnsi="Comic Sans MS"/>
          <w:b/>
          <w:bCs/>
          <w:sz w:val="24"/>
          <w:szCs w:val="24"/>
        </w:rPr>
        <w:br/>
        <w:t>Fait le 2 décembre 2019.</w:t>
      </w:r>
    </w:p>
    <w:p w:rsidR="0080790A" w:rsidRDefault="0080790A" w:rsidP="0080790A">
      <w:pPr>
        <w:spacing w:before="180" w:after="180"/>
        <w:rPr>
          <w:b/>
          <w:bCs/>
        </w:rPr>
      </w:pPr>
      <w:r>
        <w:rPr>
          <w:rFonts w:ascii="Comic Sans MS" w:hAnsi="Comic Sans MS"/>
          <w:b/>
          <w:bCs/>
          <w:sz w:val="24"/>
          <w:szCs w:val="24"/>
        </w:rPr>
        <w:t>La ministre des armées,</w:t>
      </w:r>
      <w:r>
        <w:rPr>
          <w:rFonts w:ascii="Comic Sans MS" w:hAnsi="Comic Sans MS"/>
          <w:b/>
          <w:bCs/>
          <w:sz w:val="24"/>
          <w:szCs w:val="24"/>
        </w:rPr>
        <w:br/>
      </w:r>
      <w:r>
        <w:rPr>
          <w:rFonts w:ascii="Comic Sans MS" w:hAnsi="Comic Sans MS"/>
          <w:b/>
          <w:bCs/>
          <w:sz w:val="24"/>
          <w:szCs w:val="24"/>
        </w:rPr>
        <w:br/>
        <w:t>Florence Parly</w:t>
      </w:r>
    </w:p>
    <w:p w:rsidR="0080790A" w:rsidRDefault="0080790A" w:rsidP="0080790A">
      <w:pPr>
        <w:spacing w:before="180" w:after="180"/>
        <w:rPr>
          <w:b/>
          <w:bCs/>
        </w:rPr>
      </w:pPr>
      <w:r>
        <w:rPr>
          <w:rFonts w:ascii="Comic Sans MS" w:hAnsi="Comic Sans MS"/>
          <w:b/>
          <w:bCs/>
          <w:sz w:val="24"/>
          <w:szCs w:val="24"/>
        </w:rPr>
        <w:t>La secrétaire d'État auprès de la ministre des armées,</w:t>
      </w:r>
      <w:r>
        <w:rPr>
          <w:rFonts w:ascii="Comic Sans MS" w:hAnsi="Comic Sans MS"/>
          <w:b/>
          <w:bCs/>
          <w:sz w:val="24"/>
          <w:szCs w:val="24"/>
        </w:rPr>
        <w:br/>
      </w:r>
      <w:r>
        <w:rPr>
          <w:rFonts w:ascii="Comic Sans MS" w:hAnsi="Comic Sans MS"/>
          <w:b/>
          <w:bCs/>
          <w:sz w:val="24"/>
          <w:szCs w:val="24"/>
        </w:rPr>
        <w:br/>
        <w:t>Geneviève Darrieussecq</w:t>
      </w:r>
    </w:p>
    <w:p w:rsidR="0080790A" w:rsidRDefault="0080790A" w:rsidP="0080790A">
      <w:pPr>
        <w:spacing w:after="160" w:line="235" w:lineRule="atLeast"/>
        <w:rPr>
          <w:rFonts w:ascii="Times New Roman" w:eastAsia="Times New Roman" w:hAnsi="Times New Roman" w:cs="Times New Roman"/>
          <w:b/>
          <w:bCs/>
        </w:rPr>
      </w:pPr>
      <w:r>
        <w:rPr>
          <w:rFonts w:ascii="Comic Sans MS" w:hAnsi="Comic Sans MS"/>
          <w:b/>
          <w:bCs/>
          <w:sz w:val="24"/>
          <w:szCs w:val="24"/>
        </w:rPr>
        <w:t> </w:t>
      </w:r>
    </w:p>
    <w:p w:rsidR="0080790A" w:rsidRDefault="0080790A" w:rsidP="0080790A">
      <w:pPr>
        <w:rPr>
          <w:rFonts w:ascii="Comic Sans MS" w:eastAsia="Times New Roman" w:hAnsi="Comic Sans MS"/>
          <w:color w:val="5133AB"/>
          <w:sz w:val="20"/>
          <w:szCs w:val="20"/>
        </w:rPr>
      </w:pPr>
      <w:r>
        <w:rPr>
          <w:rFonts w:ascii="Comic Sans MS" w:eastAsia="Times New Roman" w:hAnsi="Comic Sans MS" w:cs="Times New Roman"/>
          <w:b/>
          <w:bCs/>
          <w:i/>
          <w:iCs/>
          <w:color w:val="002060"/>
          <w:sz w:val="16"/>
          <w:szCs w:val="16"/>
        </w:rPr>
        <w:t>Jean-Claude BAFFIE</w:t>
      </w:r>
      <w:r>
        <w:rPr>
          <w:rFonts w:ascii="Times New Roman" w:eastAsia="Times New Roman" w:hAnsi="Times New Roman" w:cs="Times New Roman"/>
          <w:b/>
          <w:bCs/>
          <w:i/>
          <w:iCs/>
          <w:color w:val="002060"/>
          <w:sz w:val="20"/>
          <w:szCs w:val="20"/>
        </w:rPr>
        <w:br/>
      </w:r>
      <w:r>
        <w:rPr>
          <w:rFonts w:ascii="Comic Sans MS" w:eastAsia="Times New Roman" w:hAnsi="Comic Sans MS" w:cs="Times New Roman"/>
          <w:b/>
          <w:bCs/>
          <w:i/>
          <w:iCs/>
          <w:color w:val="002060"/>
          <w:sz w:val="16"/>
          <w:szCs w:val="16"/>
        </w:rPr>
        <w:t>06 32 30 87 62</w:t>
      </w:r>
      <w:bookmarkStart w:id="0" w:name="_GoBack"/>
      <w:bookmarkEnd w:id="0"/>
    </w:p>
    <w:sectPr w:rsidR="008079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90A"/>
    <w:rsid w:val="00266819"/>
    <w:rsid w:val="008079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CD719-3EFA-4849-8BEA-6E094CD0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0A"/>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0790A"/>
    <w:rPr>
      <w:color w:val="0000FF"/>
      <w:u w:val="single"/>
    </w:rPr>
  </w:style>
  <w:style w:type="character" w:customStyle="1" w:styleId="apple-converted-space">
    <w:name w:val="apple-converted-space"/>
    <w:basedOn w:val="Policepardfaut"/>
    <w:rsid w:val="00807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09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gifrance.gouv.fr/affichCode.do?cidTexte=LEGITEXT000006074068&amp;dateTexte=29990101&amp;categorieLien=cid" TargetMode="External"/><Relationship Id="rId4" Type="http://schemas.openxmlformats.org/officeDocument/2006/relationships/hyperlink" Target="https://www.legifrance.gouv.fr/eli/arrete/2019/12/2/ARMP1934951A/jo/tex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2788</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Roudil</dc:creator>
  <cp:keywords/>
  <dc:description/>
  <cp:lastModifiedBy>R. Roudil</cp:lastModifiedBy>
  <cp:revision>1</cp:revision>
  <dcterms:created xsi:type="dcterms:W3CDTF">2019-12-13T09:42:00Z</dcterms:created>
  <dcterms:modified xsi:type="dcterms:W3CDTF">2019-12-13T09:44:00Z</dcterms:modified>
</cp:coreProperties>
</file>